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体外膈肌起搏器参数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sz w:val="28"/>
          <w:szCs w:val="28"/>
        </w:rPr>
        <w:t>脉冲频率：可调单频，30Hz、35 Hz、40 Hz、45 Hz、50Hz,可选择，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默认标准状态40Hz;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*脉冲宽度：200us;</w:t>
      </w:r>
    </w:p>
    <w:p>
      <w:pPr>
        <w:numPr>
          <w:numId w:val="0"/>
        </w:num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. 起搏次数：5、6、7、8、9、10、11、12、13、14、15次／分钟，可选择，默认标准状态9次／分钟；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4.*刺激强度（输出脉冲幅度）：0~30单位，可调节；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 治疗时间（指每一次治疗的持续时间）：5、10、15、20、25、30、60、120min,可选择，有倒计时功能；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具有贴片位置提示功能；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.内置锂电池：充电4小时即可充满，满电后可持续使用8小时；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具有LED指示、蜂鸣器提醒功能；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噪音：不应有异常杂音，应≤60dB;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脉冲幅度值：在负载阻抗为500Ω时，输出脉冲幅度不大于30V;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电源要求：DC 3. 8V(专用锂电池）±10%;</w:t>
      </w:r>
    </w:p>
    <w:p>
      <w:pPr>
        <w:numPr>
          <w:numId w:val="0"/>
        </w:numPr>
        <w:ind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12.工作模式：连续运行。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A0B1E6"/>
    <w:multiLevelType w:val="singleLevel"/>
    <w:tmpl w:val="95A0B1E6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6330E5D"/>
    <w:multiLevelType w:val="singleLevel"/>
    <w:tmpl w:val="06330E5D"/>
    <w:lvl w:ilvl="0" w:tentative="0">
      <w:start w:val="6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66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2021-10-19T02:25:47Z</dcterms:created>
  <dc:creator>Administrator</dc:creator>
  <cp:lastModifiedBy>沙漏</cp:lastModifiedBy>
  <dcterms:modified xsi:type="dcterms:W3CDTF">2021-10-19T02:28:56Z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0F2EA84F9FBE43DCABB38D0E60DE91E0</vt:lpwstr>
  </property>
</Properties>
</file>