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82C" w14:textId="77777777" w:rsidR="00EA755A" w:rsidRDefault="00EA755A" w:rsidP="00EA755A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Lines="50" w:before="156" w:afterLines="50" w:after="156" w:line="224" w:lineRule="auto"/>
        <w:textAlignment w:val="baseline"/>
        <w:rPr>
          <w:rFonts w:ascii="宋体" w:eastAsia="宋体" w:hAnsi="宋体" w:cs="宋体"/>
          <w:b/>
          <w:bCs/>
          <w:spacing w:val="1"/>
          <w:sz w:val="28"/>
          <w:szCs w:val="28"/>
        </w:rPr>
      </w:pPr>
      <w:bookmarkStart w:id="0" w:name="_Hlk182485789"/>
      <w:r>
        <w:rPr>
          <w:rFonts w:ascii="宋体" w:eastAsia="宋体" w:hAnsi="宋体" w:cs="宋体" w:hint="eastAsia"/>
          <w:b/>
          <w:bCs/>
          <w:spacing w:val="1"/>
          <w:sz w:val="28"/>
          <w:szCs w:val="28"/>
        </w:rPr>
        <w:t>项目功能参数列表</w:t>
      </w:r>
    </w:p>
    <w:p w14:paraId="28712D15" w14:textId="77777777" w:rsidR="00EA755A" w:rsidRDefault="00EA755A" w:rsidP="00EA755A">
      <w:pPr>
        <w:pStyle w:val="a3"/>
        <w:widowControl/>
        <w:numPr>
          <w:ilvl w:val="0"/>
          <w:numId w:val="2"/>
        </w:numPr>
        <w:spacing w:line="360" w:lineRule="auto"/>
        <w:ind w:left="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实现兴仁市人民</w:t>
      </w:r>
      <w:proofErr w:type="gramStart"/>
      <w:r>
        <w:rPr>
          <w:rFonts w:ascii="宋体" w:eastAsia="宋体" w:hAnsi="宋体" w:cs="宋体" w:hint="eastAsia"/>
        </w:rPr>
        <w:t>医院诊间支付</w:t>
      </w:r>
      <w:proofErr w:type="gramEnd"/>
      <w:r>
        <w:rPr>
          <w:rFonts w:ascii="宋体" w:eastAsia="宋体" w:hAnsi="宋体" w:cs="宋体" w:hint="eastAsia"/>
        </w:rPr>
        <w:t>（诊疗单扫码移动</w:t>
      </w:r>
      <w:proofErr w:type="gramStart"/>
      <w:r>
        <w:rPr>
          <w:rFonts w:ascii="宋体" w:eastAsia="宋体" w:hAnsi="宋体" w:cs="宋体" w:hint="eastAsia"/>
        </w:rPr>
        <w:t>医</w:t>
      </w:r>
      <w:proofErr w:type="gramEnd"/>
      <w:r>
        <w:rPr>
          <w:rFonts w:ascii="宋体" w:eastAsia="宋体" w:hAnsi="宋体" w:cs="宋体" w:hint="eastAsia"/>
        </w:rPr>
        <w:t>保支付）合单</w:t>
      </w:r>
      <w:proofErr w:type="gramStart"/>
      <w:r>
        <w:rPr>
          <w:rFonts w:ascii="宋体" w:eastAsia="宋体" w:hAnsi="宋体" w:cs="宋体" w:hint="eastAsia"/>
        </w:rPr>
        <w:t>医</w:t>
      </w:r>
      <w:proofErr w:type="gramEnd"/>
      <w:r>
        <w:rPr>
          <w:rFonts w:ascii="宋体" w:eastAsia="宋体" w:hAnsi="宋体" w:cs="宋体" w:hint="eastAsia"/>
        </w:rPr>
        <w:t>保支付。</w:t>
      </w:r>
    </w:p>
    <w:p w14:paraId="18DB4417" w14:textId="77777777" w:rsidR="00EA755A" w:rsidRDefault="00EA755A" w:rsidP="00EA755A">
      <w:pPr>
        <w:pStyle w:val="a3"/>
        <w:widowControl/>
        <w:numPr>
          <w:ilvl w:val="0"/>
          <w:numId w:val="2"/>
        </w:numPr>
        <w:spacing w:line="360" w:lineRule="auto"/>
        <w:ind w:left="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医院申请公众号开通</w:t>
      </w:r>
      <w:proofErr w:type="gramStart"/>
      <w:r>
        <w:rPr>
          <w:rFonts w:ascii="宋体" w:eastAsia="宋体" w:hAnsi="宋体" w:cs="宋体" w:hint="eastAsia"/>
        </w:rPr>
        <w:t>医</w:t>
      </w:r>
      <w:proofErr w:type="gramEnd"/>
      <w:r>
        <w:rPr>
          <w:rFonts w:ascii="宋体" w:eastAsia="宋体" w:hAnsi="宋体" w:cs="宋体" w:hint="eastAsia"/>
        </w:rPr>
        <w:t>保移动支付功能。</w:t>
      </w:r>
    </w:p>
    <w:p w14:paraId="2ECFE872" w14:textId="77777777" w:rsidR="00EA755A" w:rsidRDefault="00EA755A" w:rsidP="00EA755A">
      <w:pPr>
        <w:pStyle w:val="a3"/>
        <w:widowControl/>
        <w:numPr>
          <w:ilvl w:val="0"/>
          <w:numId w:val="2"/>
        </w:numPr>
        <w:spacing w:line="360" w:lineRule="auto"/>
        <w:ind w:left="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实现在线实时</w:t>
      </w:r>
      <w:proofErr w:type="gramStart"/>
      <w:r>
        <w:rPr>
          <w:rFonts w:ascii="宋体" w:eastAsia="宋体" w:hAnsi="宋体" w:cs="宋体" w:hint="eastAsia"/>
        </w:rPr>
        <w:t>医</w:t>
      </w:r>
      <w:proofErr w:type="gramEnd"/>
      <w:r>
        <w:rPr>
          <w:rFonts w:ascii="宋体" w:eastAsia="宋体" w:hAnsi="宋体" w:cs="宋体" w:hint="eastAsia"/>
        </w:rPr>
        <w:t>保结算，通过与地方医疗保障平台的实时对接，患者在就诊后可直接通过手机端完成</w:t>
      </w:r>
      <w:proofErr w:type="gramStart"/>
      <w:r>
        <w:rPr>
          <w:rFonts w:ascii="宋体" w:eastAsia="宋体" w:hAnsi="宋体" w:cs="宋体" w:hint="eastAsia"/>
        </w:rPr>
        <w:t>医</w:t>
      </w:r>
      <w:proofErr w:type="gramEnd"/>
      <w:r>
        <w:rPr>
          <w:rFonts w:ascii="宋体" w:eastAsia="宋体" w:hAnsi="宋体" w:cs="宋体" w:hint="eastAsia"/>
        </w:rPr>
        <w:t>保结算，减少窗口排队时间。</w:t>
      </w:r>
    </w:p>
    <w:p w14:paraId="791518D4" w14:textId="77777777" w:rsidR="00EA755A" w:rsidRDefault="00EA755A" w:rsidP="00EA755A">
      <w:pPr>
        <w:pStyle w:val="a3"/>
        <w:widowControl/>
        <w:numPr>
          <w:ilvl w:val="0"/>
          <w:numId w:val="2"/>
        </w:numPr>
        <w:spacing w:line="360" w:lineRule="auto"/>
        <w:ind w:left="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无缝系统集成，对接平台需无缝集成到现有的医院信息管理系统，避免重复开发，节约资源。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1"/>
        <w:gridCol w:w="756"/>
        <w:gridCol w:w="1232"/>
        <w:gridCol w:w="2501"/>
        <w:gridCol w:w="3326"/>
      </w:tblGrid>
      <w:tr w:rsidR="00EA755A" w14:paraId="09A67EE3" w14:textId="77777777" w:rsidTr="005D6108">
        <w:trPr>
          <w:trHeight w:val="720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667ECB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1AFC4D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开发方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4DE58C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功能点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6C01F4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功能模块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3BC2A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功能说明</w:t>
            </w:r>
          </w:p>
        </w:tc>
      </w:tr>
      <w:tr w:rsidR="00EA755A" w14:paraId="7DDF801B" w14:textId="77777777" w:rsidTr="005D6108">
        <w:trPr>
          <w:trHeight w:val="298"/>
        </w:trPr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5E85F5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45EA62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H5开发方</w:t>
            </w:r>
          </w:p>
        </w:tc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3D9E66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保支付后台管理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F27F01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保支付订单管理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FF1BEF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管理和跟踪所有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保支付订单的状态、历史记录以及相关信息。</w:t>
            </w:r>
          </w:p>
        </w:tc>
      </w:tr>
      <w:tr w:rsidR="00EA755A" w14:paraId="4E3B9391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427550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9B27F2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585D5C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02793A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支付接口记录跟踪查询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F161A4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查询并跟踪支付接口的调用记录，帮助监控和排查支付过程中的异常。</w:t>
            </w:r>
          </w:p>
        </w:tc>
      </w:tr>
      <w:tr w:rsidR="00EA755A" w14:paraId="469DE9DD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98FAFD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E1A988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319648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5F13C3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开放接口调用记录查询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85DDE1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查询外部系统调用开放接口的记录，确保接口调用的透明性和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追溯性。</w:t>
            </w:r>
          </w:p>
        </w:tc>
      </w:tr>
      <w:tr w:rsidR="00EA755A" w14:paraId="6642C035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21970E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ACD0C6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D209DB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D0ECCE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系统基础功能（含用户、登录、权限等）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950F0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提供系统的基础管理功能，包括用户管理、权限控制和登录认证等。</w:t>
            </w:r>
          </w:p>
        </w:tc>
      </w:tr>
      <w:tr w:rsidR="00EA755A" w14:paraId="1CAC0B70" w14:textId="77777777" w:rsidTr="005D6108">
        <w:trPr>
          <w:trHeight w:val="298"/>
        </w:trPr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D493DD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3947E5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880863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保接口开发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B6A2E4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93F85E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支持普通门诊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保支付上送。</w:t>
            </w:r>
          </w:p>
        </w:tc>
      </w:tr>
      <w:tr w:rsidR="00EA755A" w14:paraId="1F48E70F" w14:textId="77777777" w:rsidTr="005D6108">
        <w:trPr>
          <w:trHeight w:val="282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3F80A3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36A27E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0474DE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045239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费用明细上传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D32BEC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保费用的详细信息上传到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保系统，确保费用信息准确入库。</w:t>
            </w:r>
          </w:p>
        </w:tc>
      </w:tr>
      <w:tr w:rsidR="00EA755A" w14:paraId="14E1D17E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D4FAB2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A26D1B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409AF8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860718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保支付下单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CAE5E2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保支付订单，并向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保系统提交支付请求。</w:t>
            </w:r>
          </w:p>
        </w:tc>
      </w:tr>
      <w:tr w:rsidR="00EA755A" w14:paraId="5802672D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2E7FB4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5E752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E800D6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751FF5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费用撤销上传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7CA8E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在支付过程中出现问题时，上传撤销申请并进行退款处理。</w:t>
            </w:r>
          </w:p>
        </w:tc>
      </w:tr>
      <w:tr w:rsidR="00EA755A" w14:paraId="30EC73A9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D0F06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7645AE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5BD84A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854B94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保订单信息同步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B12531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实时同步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保订单的状态信息，确保平台与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保系统数据一致。</w:t>
            </w:r>
          </w:p>
        </w:tc>
      </w:tr>
      <w:tr w:rsidR="00EA755A" w14:paraId="790E29D2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1DF056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99FA31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2019D1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8B55F9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保结算结果单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DEC47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从医保系统查询支付后的结算结果，供内部系统使用或用户查询。</w:t>
            </w:r>
          </w:p>
        </w:tc>
      </w:tr>
      <w:tr w:rsidR="00EA755A" w14:paraId="2ABABFD9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6748D0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612037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1DB0DA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1670FD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保退费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F972EE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保支付的退款请求，确保用户能够及时获得退款。</w:t>
            </w:r>
          </w:p>
        </w:tc>
      </w:tr>
      <w:tr w:rsidR="00EA755A" w14:paraId="4D727E00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5EA1D3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730C1F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A4CD64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683DC8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保结算结果通知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17144B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保支付完成后，将结算结果通知相关系统进行后续处理。</w:t>
            </w:r>
          </w:p>
        </w:tc>
      </w:tr>
      <w:tr w:rsidR="00EA755A" w14:paraId="0C339560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58B066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741033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9E3185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DE8F9C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医</w:t>
            </w:r>
            <w:proofErr w:type="gramEnd"/>
            <w:r>
              <w:rPr>
                <w:rStyle w:val="font31"/>
                <w:rFonts w:hint="default"/>
                <w:lang w:bidi="ar"/>
              </w:rPr>
              <w:t>保订单结果查询推送</w:t>
            </w:r>
            <w:r>
              <w:rPr>
                <w:rStyle w:val="font41"/>
                <w:rFonts w:hint="default"/>
                <w:lang w:bidi="ar"/>
              </w:rPr>
              <w:t>HIS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383AC6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推送医保订单结果至医院信息系统（HIS），供医院同步更新订单状态。</w:t>
            </w:r>
          </w:p>
        </w:tc>
      </w:tr>
      <w:tr w:rsidR="00EA755A" w14:paraId="3AEDE58B" w14:textId="77777777" w:rsidTr="005D6108">
        <w:trPr>
          <w:trHeight w:val="298"/>
        </w:trPr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F63661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90EB0C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613F5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公众号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888DB9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申请微信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保支付的权限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B1C561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为用户申请微信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保支付的相关权限，确保用户能通过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微信支付医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保费用。</w:t>
            </w:r>
          </w:p>
        </w:tc>
      </w:tr>
      <w:tr w:rsidR="00EA755A" w14:paraId="3C0A8E9F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8BCE07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6BB5CA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29D8A9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696970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待交款界面新增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保缴费入口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FEE7AC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在待交款界面为用户增加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保缴费的便捷入口。</w:t>
            </w:r>
          </w:p>
        </w:tc>
      </w:tr>
      <w:tr w:rsidR="00EA755A" w14:paraId="4B0A6A59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0E3B21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FF6B3B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C19539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865690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保支付界面开发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3CE9E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设计并开发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微信端医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保支付的用户界面，提升用户体验。</w:t>
            </w:r>
          </w:p>
        </w:tc>
      </w:tr>
      <w:tr w:rsidR="00EA755A" w14:paraId="1B780E3C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9EC833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732DA3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AA8946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613213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调用费用明细上传接口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ACF1B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通过调用接口上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传用户的医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保费用明细，确保费用信息准确无误。</w:t>
            </w:r>
          </w:p>
        </w:tc>
      </w:tr>
      <w:tr w:rsidR="00EA755A" w14:paraId="308E0674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C6DBF3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F0F668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29DAA9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B647EE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调用费用上传撤销接口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F25AB1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当用户或系统需要撤销上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传费用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时，调用撤销接口进行操作。</w:t>
            </w:r>
          </w:p>
        </w:tc>
      </w:tr>
      <w:tr w:rsidR="00EA755A" w14:paraId="747EF5AA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9A54ED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B8D832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4AD6AB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1A5C87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调用支付下单接口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C6AEF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保支付下单接口，生成并提交支付订单。</w:t>
            </w:r>
          </w:p>
        </w:tc>
      </w:tr>
      <w:tr w:rsidR="00EA755A" w14:paraId="1FFD1A53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A3665B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9A92FE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05DD42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0615A6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调用微信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保支付接口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977FF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微信支付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系统对接，调用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保支付接口完成支付流程。</w:t>
            </w:r>
          </w:p>
        </w:tc>
      </w:tr>
      <w:tr w:rsidR="00EA755A" w14:paraId="221821D7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E7ADD4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048964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177FF8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95213D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保支付结果回调接口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28FA53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处理微信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保支付结果的回调信息，更新支付状态并通知相关系统。</w:t>
            </w:r>
          </w:p>
        </w:tc>
      </w:tr>
      <w:tr w:rsidR="00EA755A" w14:paraId="0A34B01A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D6E6DC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6350C6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1EA760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07F9D8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保结算通知接口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8C9DB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保结算通知接口，通知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保支付成功后的结算结果。</w:t>
            </w:r>
          </w:p>
        </w:tc>
      </w:tr>
      <w:tr w:rsidR="00EA755A" w14:paraId="7AF62196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548B3F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6EB366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E51CC8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8DFE7E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调用his结算通知推送接口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91FCF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保支付完成后，向HIS系统推送结算通知，便于医院系统更新。</w:t>
            </w:r>
          </w:p>
        </w:tc>
      </w:tr>
      <w:tr w:rsidR="00EA755A" w14:paraId="6E3CDA2A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736C14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062D62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07D493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7312A7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保支付现金部分退费接口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9F3EE5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保支付中涉及的现金部分退款请求，确保用户获得应退金额。</w:t>
            </w:r>
          </w:p>
        </w:tc>
      </w:tr>
      <w:tr w:rsidR="00EA755A" w14:paraId="6F6C91F9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8A6A94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278A34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EDCFF2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4F55DA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自费支付订单管理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9D44FE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管理用户自费支付的订单信息，确保与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保支付数据的区分与管理。</w:t>
            </w:r>
          </w:p>
        </w:tc>
      </w:tr>
      <w:tr w:rsidR="00EA755A" w14:paraId="2BD84FEE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28E529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EC185B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F3951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F6C599" w14:textId="77777777" w:rsidR="00EA755A" w:rsidRDefault="00EA755A" w:rsidP="005D610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手动现金退费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74B15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当自动退费失败时，允许管理员手动执行现金退费操作。</w:t>
            </w:r>
          </w:p>
        </w:tc>
      </w:tr>
      <w:tr w:rsidR="00EA755A" w14:paraId="40ED85F4" w14:textId="77777777" w:rsidTr="005D6108">
        <w:trPr>
          <w:trHeight w:val="581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F1522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5A919E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13330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交易处理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659BA5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对接聚合支付平台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10CF4D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对接聚合平台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实现微信的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银行线上支付通道。（建行支付渠道）</w:t>
            </w:r>
          </w:p>
        </w:tc>
      </w:tr>
      <w:tr w:rsidR="00EA755A" w14:paraId="7A62DFCD" w14:textId="77777777" w:rsidTr="005D6108">
        <w:trPr>
          <w:trHeight w:val="298"/>
        </w:trPr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8B854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0474C9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1300A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对接HIS接口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9CD47D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缴费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0859F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提供HIS内网对接接口，查询待缴费信息。</w:t>
            </w:r>
          </w:p>
        </w:tc>
      </w:tr>
      <w:tr w:rsidR="00EA755A" w14:paraId="553A30F4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0C0C5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6024CC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0A124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E2C5CF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支付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B66F9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提供HIS内网对接接口，支付结果推送接口</w:t>
            </w:r>
          </w:p>
        </w:tc>
      </w:tr>
      <w:tr w:rsidR="00EA755A" w14:paraId="013D30D5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4D9F5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DA5344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90137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706695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电子发票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C5D89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提供HIS内网对接接口，获取电子发票图片</w:t>
            </w:r>
          </w:p>
        </w:tc>
      </w:tr>
      <w:tr w:rsidR="00EA755A" w14:paraId="1273556D" w14:textId="77777777" w:rsidTr="005D6108">
        <w:trPr>
          <w:trHeight w:val="298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7099D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88824A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AFCFB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聚合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诊间扫码支付</w:t>
            </w:r>
            <w:proofErr w:type="gramEnd"/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C7EBD6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聚合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扫码支付</w:t>
            </w:r>
            <w:proofErr w:type="gramEnd"/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F26E1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提供HIS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二维码生成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接口，由HIS厂商在挂号凭条上打印。</w:t>
            </w:r>
          </w:p>
        </w:tc>
      </w:tr>
      <w:tr w:rsidR="00EA755A" w14:paraId="6ACE10DE" w14:textId="77777777" w:rsidTr="005D6108">
        <w:trPr>
          <w:trHeight w:val="298"/>
        </w:trPr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103F5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21CFE4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1460F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H5静态页面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5953F7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查询代缴费信息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6EC25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静态页面UI设计</w:t>
            </w:r>
          </w:p>
        </w:tc>
      </w:tr>
      <w:tr w:rsidR="00EA755A" w14:paraId="7E994DC3" w14:textId="77777777" w:rsidTr="005D6108">
        <w:trPr>
          <w:trHeight w:val="29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A1526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BA406D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6658B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B27E6F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缴费完成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A92266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静态页面UI设计</w:t>
            </w:r>
          </w:p>
        </w:tc>
      </w:tr>
      <w:tr w:rsidR="00EA755A" w14:paraId="39E800D3" w14:textId="77777777" w:rsidTr="005D6108">
        <w:trPr>
          <w:trHeight w:val="581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92035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658086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06467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HIS对账</w:t>
            </w: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18A772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对账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DCAD0F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通过FTP方式推送建行对账文件到HUS公司指导位置协助完成HIS公司提取诊疗单扫码缴费的对账文件。</w:t>
            </w:r>
          </w:p>
        </w:tc>
      </w:tr>
      <w:tr w:rsidR="00EA755A" w14:paraId="2EE7B258" w14:textId="77777777" w:rsidTr="005D6108">
        <w:trPr>
          <w:trHeight w:val="298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4798B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5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789A2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HIS开发方</w:t>
            </w:r>
          </w:p>
        </w:tc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7F846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扫码支付</w:t>
            </w:r>
            <w:proofErr w:type="gramEnd"/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9C68E7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财务流程讨论，重建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126BC" w14:textId="77777777" w:rsidR="00EA755A" w:rsidRDefault="00EA755A" w:rsidP="005D610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缴费流程发生变动，引起一系列问题，需要重建或答疑</w:t>
            </w:r>
          </w:p>
        </w:tc>
      </w:tr>
      <w:tr w:rsidR="00EA755A" w14:paraId="632CE630" w14:textId="77777777" w:rsidTr="005D6108">
        <w:trPr>
          <w:trHeight w:val="29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1AEB7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866AB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76CD7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7728DB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诊间支付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二维码参数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接口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673A1B" w14:textId="77777777" w:rsidR="00EA755A" w:rsidRDefault="00EA755A" w:rsidP="005D6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调用或生成二维码，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视医院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网络情况确定</w:t>
            </w:r>
          </w:p>
        </w:tc>
      </w:tr>
      <w:tr w:rsidR="00EA755A" w14:paraId="4FC9338B" w14:textId="77777777" w:rsidTr="005D6108">
        <w:trPr>
          <w:trHeight w:val="29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7AB1C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C2BB0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4C299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0A423E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病人信息查询接口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C3C7C" w14:textId="77777777" w:rsidR="00EA755A" w:rsidRDefault="00EA755A" w:rsidP="005D6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即查询病人信息</w:t>
            </w:r>
          </w:p>
        </w:tc>
      </w:tr>
      <w:tr w:rsidR="00EA755A" w14:paraId="579BF97A" w14:textId="77777777" w:rsidTr="005D6108">
        <w:trPr>
          <w:trHeight w:val="29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B34CF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5D6D2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F063E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9F24BB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加载处方明细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50FA37" w14:textId="77777777" w:rsidR="00EA755A" w:rsidRDefault="00EA755A" w:rsidP="005D6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加载处方单明细</w:t>
            </w:r>
          </w:p>
        </w:tc>
      </w:tr>
      <w:tr w:rsidR="00EA755A" w14:paraId="36125E09" w14:textId="77777777" w:rsidTr="005D6108">
        <w:trPr>
          <w:trHeight w:val="29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EB3EF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99FE8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85715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18544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缴费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A243DD" w14:textId="77777777" w:rsidR="00EA755A" w:rsidRDefault="00EA755A" w:rsidP="005D6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缴费成功后回写HIS表单</w:t>
            </w:r>
          </w:p>
        </w:tc>
      </w:tr>
      <w:tr w:rsidR="00EA755A" w14:paraId="1CADE0DA" w14:textId="77777777" w:rsidTr="005D6108">
        <w:trPr>
          <w:trHeight w:val="29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E568F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B9D3E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C1F93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243241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财务对账</w:t>
            </w:r>
          </w:p>
        </w:tc>
        <w:tc>
          <w:tcPr>
            <w:tcW w:w="2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A8B82A" w14:textId="77777777" w:rsidR="00EA755A" w:rsidRDefault="00EA755A" w:rsidP="005D6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对扫码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支付、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保支付等交易进行对账比对。制作报表</w:t>
            </w:r>
          </w:p>
        </w:tc>
      </w:tr>
      <w:tr w:rsidR="00EA755A" w14:paraId="7EE31574" w14:textId="77777777" w:rsidTr="005D6108">
        <w:trPr>
          <w:trHeight w:val="29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7CA82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0C9B9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798A5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F7D4FF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保支付相关接口</w:t>
            </w:r>
          </w:p>
        </w:tc>
        <w:tc>
          <w:tcPr>
            <w:tcW w:w="20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B3196B" w14:textId="77777777" w:rsidR="00EA755A" w:rsidRDefault="00EA755A" w:rsidP="005D6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牵扯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保就是长期应对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保政策调整,以及全院流程变动</w:t>
            </w:r>
          </w:p>
        </w:tc>
      </w:tr>
      <w:tr w:rsidR="00EA755A" w14:paraId="18A0CD95" w14:textId="77777777" w:rsidTr="005D6108">
        <w:trPr>
          <w:trHeight w:val="29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AFF72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69F70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F8285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BF2BAB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医保数据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上传、核对</w:t>
            </w:r>
          </w:p>
        </w:tc>
        <w:tc>
          <w:tcPr>
            <w:tcW w:w="20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FB02A1" w14:textId="77777777" w:rsidR="00EA755A" w:rsidRDefault="00EA755A" w:rsidP="005D610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A755A" w14:paraId="529678E8" w14:textId="77777777" w:rsidTr="005D6108">
        <w:trPr>
          <w:trHeight w:val="29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B809A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5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18BFB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3F5B9" w14:textId="77777777" w:rsidR="00EA755A" w:rsidRDefault="00EA755A" w:rsidP="005D610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56965F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相关报表</w:t>
            </w:r>
          </w:p>
        </w:tc>
        <w:tc>
          <w:tcPr>
            <w:tcW w:w="20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37E06" w14:textId="77777777" w:rsidR="00EA755A" w:rsidRDefault="00EA755A" w:rsidP="005D610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bookmarkEnd w:id="0"/>
    </w:tbl>
    <w:p w14:paraId="71A9361E" w14:textId="77777777" w:rsidR="00EA755A" w:rsidRDefault="00EA755A" w:rsidP="00EA755A">
      <w:pPr>
        <w:spacing w:line="360" w:lineRule="auto"/>
        <w:jc w:val="left"/>
        <w:rPr>
          <w:rFonts w:ascii="宋体" w:eastAsia="宋体" w:hAnsi="宋体" w:cs="宋体"/>
        </w:rPr>
      </w:pPr>
    </w:p>
    <w:p w14:paraId="038E14F0" w14:textId="77777777" w:rsidR="00EA755A" w:rsidRDefault="00EA755A" w:rsidP="00EA755A">
      <w:pPr>
        <w:widowControl/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beforeLines="50" w:before="156" w:afterLines="50" w:after="156" w:line="224" w:lineRule="auto"/>
        <w:textAlignment w:val="baseline"/>
        <w:rPr>
          <w:rFonts w:ascii="宋体" w:eastAsia="宋体" w:hAnsi="宋体" w:cs="宋体"/>
          <w:b/>
          <w:bCs/>
          <w:spacing w:val="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1"/>
          <w:sz w:val="28"/>
          <w:szCs w:val="28"/>
        </w:rPr>
        <w:t>系统升级维护要求：</w:t>
      </w:r>
    </w:p>
    <w:p w14:paraId="7CC5EE5C" w14:textId="77777777" w:rsidR="00EA755A" w:rsidRDefault="00EA755A" w:rsidP="00EA755A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224" w:lineRule="auto"/>
        <w:textAlignment w:val="baseline"/>
        <w:rPr>
          <w:rFonts w:ascii="宋体" w:eastAsia="宋体" w:hAnsi="宋体" w:cs="宋体"/>
          <w:b/>
          <w:bCs/>
          <w:spacing w:val="1"/>
          <w:sz w:val="28"/>
          <w:szCs w:val="28"/>
        </w:rPr>
      </w:pPr>
    </w:p>
    <w:tbl>
      <w:tblPr>
        <w:tblW w:w="9579" w:type="dxa"/>
        <w:jc w:val="center"/>
        <w:tblLook w:val="04A0" w:firstRow="1" w:lastRow="0" w:firstColumn="1" w:lastColumn="0" w:noHBand="0" w:noVBand="1"/>
      </w:tblPr>
      <w:tblGrid>
        <w:gridCol w:w="3050"/>
        <w:gridCol w:w="6529"/>
      </w:tblGrid>
      <w:tr w:rsidR="00EA755A" w14:paraId="097233DB" w14:textId="77777777" w:rsidTr="005D6108">
        <w:trPr>
          <w:trHeight w:val="730"/>
          <w:jc w:val="center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41F2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服务类型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CAF1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kern w:val="0"/>
                <w:szCs w:val="21"/>
                <w:lang w:bidi="ar"/>
              </w:rPr>
              <w:t>服务描述</w:t>
            </w:r>
          </w:p>
        </w:tc>
      </w:tr>
      <w:tr w:rsidR="00EA755A" w14:paraId="445224F8" w14:textId="77777777" w:rsidTr="005D6108">
        <w:trPr>
          <w:trHeight w:val="1089"/>
          <w:jc w:val="center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03CA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易用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性完善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服务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552C" w14:textId="77777777" w:rsidR="00EA755A" w:rsidRDefault="00EA755A" w:rsidP="005D6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功能的易用性、稳定性和可靠性。对系统的UI进行设计，通过多测试构建人性化操作页面，提高医院形象，使用体验，增加用户粘性，提高用户活跃度。</w:t>
            </w:r>
          </w:p>
        </w:tc>
      </w:tr>
      <w:tr w:rsidR="00EA755A" w14:paraId="45696DED" w14:textId="77777777" w:rsidTr="005D6108">
        <w:trPr>
          <w:trHeight w:val="376"/>
          <w:jc w:val="center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097A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HIS接口开发对接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4D76" w14:textId="77777777" w:rsidR="00EA755A" w:rsidRDefault="00EA755A" w:rsidP="005D6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对接HIS数据包接入，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实现诊间支付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功能的操作</w:t>
            </w:r>
          </w:p>
        </w:tc>
      </w:tr>
      <w:tr w:rsidR="00EA755A" w14:paraId="1C0E76AF" w14:textId="77777777" w:rsidTr="005D6108">
        <w:trPr>
          <w:trHeight w:val="733"/>
          <w:jc w:val="center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F091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银海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保系统的接口开发对接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D1DA" w14:textId="77777777" w:rsidR="00EA755A" w:rsidRDefault="00EA755A" w:rsidP="005D6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改造对接确保银海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保系统的接口数据传送正常、有序、无误等</w:t>
            </w:r>
          </w:p>
        </w:tc>
      </w:tr>
      <w:tr w:rsidR="00EA755A" w14:paraId="6172EA6C" w14:textId="77777777" w:rsidTr="005D6108">
        <w:trPr>
          <w:trHeight w:val="753"/>
          <w:jc w:val="center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CCEC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国家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保平台线上电子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保支付接口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6028" w14:textId="77777777" w:rsidR="00EA755A" w:rsidRDefault="00EA755A" w:rsidP="005D61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改造对接国家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保平台线上电子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保支付接口对接，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患者可线上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实现电子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  <w:lang w:bidi="ar"/>
              </w:rPr>
              <w:t>保支付报销。</w:t>
            </w:r>
          </w:p>
        </w:tc>
      </w:tr>
    </w:tbl>
    <w:p w14:paraId="10980FDF" w14:textId="77777777" w:rsidR="00EA755A" w:rsidRDefault="00EA755A" w:rsidP="00EA755A">
      <w:pPr>
        <w:spacing w:line="73" w:lineRule="exact"/>
        <w:rPr>
          <w:rFonts w:ascii="宋体" w:eastAsia="宋体" w:hAnsi="宋体" w:cs="宋体"/>
          <w:sz w:val="28"/>
          <w:szCs w:val="28"/>
        </w:rPr>
      </w:pPr>
    </w:p>
    <w:p w14:paraId="34A5A14C" w14:textId="77777777" w:rsidR="00EA755A" w:rsidRDefault="00EA755A" w:rsidP="00EA755A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360" w:lineRule="auto"/>
        <w:ind w:left="283" w:rightChars="50" w:right="105"/>
        <w:textAlignment w:val="baseline"/>
        <w:rPr>
          <w:rFonts w:ascii="宋体" w:eastAsia="宋体" w:hAnsi="宋体" w:cs="宋体"/>
          <w:b/>
          <w:bCs/>
          <w:spacing w:val="1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12"/>
          <w:sz w:val="28"/>
          <w:szCs w:val="28"/>
        </w:rPr>
        <w:t>(三)培训推广服务要求：</w:t>
      </w:r>
    </w:p>
    <w:p w14:paraId="5129BECB" w14:textId="77777777" w:rsidR="00EA755A" w:rsidRDefault="00EA755A" w:rsidP="00EA755A">
      <w:pPr>
        <w:spacing w:line="83" w:lineRule="exact"/>
        <w:rPr>
          <w:rFonts w:ascii="宋体" w:eastAsia="宋体" w:hAnsi="宋体" w:cs="宋体"/>
          <w:sz w:val="28"/>
          <w:szCs w:val="28"/>
        </w:rPr>
      </w:pPr>
    </w:p>
    <w:tbl>
      <w:tblPr>
        <w:tblStyle w:val="TableNormal"/>
        <w:tblW w:w="92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654"/>
      </w:tblGrid>
      <w:tr w:rsidR="00EA755A" w14:paraId="55BAE39B" w14:textId="77777777" w:rsidTr="005D6108">
        <w:trPr>
          <w:trHeight w:val="867"/>
          <w:jc w:val="center"/>
        </w:trPr>
        <w:tc>
          <w:tcPr>
            <w:tcW w:w="2605" w:type="dxa"/>
            <w:vAlign w:val="center"/>
          </w:tcPr>
          <w:p w14:paraId="498957F3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11"/>
                <w:rFonts w:cs="宋体"/>
                <w:b/>
                <w:bCs/>
                <w:snapToGrid w:val="0"/>
                <w:sz w:val="21"/>
                <w:szCs w:val="21"/>
                <w:lang w:bidi="ar"/>
              </w:rPr>
              <w:t>服务类型</w:t>
            </w:r>
          </w:p>
        </w:tc>
        <w:tc>
          <w:tcPr>
            <w:tcW w:w="6654" w:type="dxa"/>
            <w:vAlign w:val="center"/>
          </w:tcPr>
          <w:p w14:paraId="34FFD5D4" w14:textId="77777777" w:rsidR="00EA755A" w:rsidRDefault="00EA755A" w:rsidP="005D610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font11"/>
                <w:rFonts w:cs="宋体"/>
                <w:b/>
                <w:bCs/>
                <w:snapToGrid w:val="0"/>
                <w:sz w:val="21"/>
                <w:szCs w:val="21"/>
                <w:lang w:bidi="ar"/>
              </w:rPr>
              <w:t>服务描述</w:t>
            </w:r>
          </w:p>
        </w:tc>
      </w:tr>
      <w:tr w:rsidR="00EA755A" w14:paraId="64D6366F" w14:textId="77777777" w:rsidTr="005D6108">
        <w:trPr>
          <w:trHeight w:val="793"/>
          <w:jc w:val="center"/>
        </w:trPr>
        <w:tc>
          <w:tcPr>
            <w:tcW w:w="2605" w:type="dxa"/>
            <w:vAlign w:val="center"/>
          </w:tcPr>
          <w:p w14:paraId="7DBA96FC" w14:textId="77777777" w:rsidR="00EA755A" w:rsidRDefault="00EA755A" w:rsidP="005D6108">
            <w:pPr>
              <w:spacing w:before="112" w:line="219" w:lineRule="auto"/>
              <w:ind w:left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3"/>
                <w:sz w:val="21"/>
                <w:szCs w:val="21"/>
              </w:rPr>
              <w:lastRenderedPageBreak/>
              <w:t>系统及业务培训</w:t>
            </w:r>
          </w:p>
        </w:tc>
        <w:tc>
          <w:tcPr>
            <w:tcW w:w="6654" w:type="dxa"/>
            <w:vAlign w:val="center"/>
          </w:tcPr>
          <w:p w14:paraId="7A3F2E0A" w14:textId="77777777" w:rsidR="00EA755A" w:rsidRDefault="00EA755A" w:rsidP="005D6108">
            <w:pPr>
              <w:spacing w:before="52" w:line="219" w:lineRule="auto"/>
              <w:ind w:left="10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sz w:val="21"/>
                <w:szCs w:val="21"/>
              </w:rPr>
              <w:t>向医院方人员开展集中培训</w:t>
            </w:r>
          </w:p>
        </w:tc>
      </w:tr>
      <w:tr w:rsidR="00EA755A" w14:paraId="1876644C" w14:textId="77777777" w:rsidTr="005D6108">
        <w:trPr>
          <w:trHeight w:val="847"/>
          <w:jc w:val="center"/>
        </w:trPr>
        <w:tc>
          <w:tcPr>
            <w:tcW w:w="2605" w:type="dxa"/>
            <w:vAlign w:val="center"/>
          </w:tcPr>
          <w:p w14:paraId="08F32375" w14:textId="77777777" w:rsidR="00EA755A" w:rsidRDefault="00EA755A" w:rsidP="005D6108">
            <w:pPr>
              <w:spacing w:before="113" w:line="219" w:lineRule="auto"/>
              <w:ind w:left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1"/>
                <w:sz w:val="21"/>
                <w:szCs w:val="21"/>
              </w:rPr>
              <w:t>推广所需素材整理</w:t>
            </w:r>
          </w:p>
        </w:tc>
        <w:tc>
          <w:tcPr>
            <w:tcW w:w="6654" w:type="dxa"/>
            <w:vAlign w:val="center"/>
          </w:tcPr>
          <w:p w14:paraId="72A3FEE4" w14:textId="77777777" w:rsidR="00EA755A" w:rsidRDefault="00EA755A" w:rsidP="005D6108">
            <w:pPr>
              <w:spacing w:before="43" w:line="219" w:lineRule="auto"/>
              <w:ind w:left="10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1"/>
                <w:sz w:val="21"/>
                <w:szCs w:val="21"/>
              </w:rPr>
              <w:t>为医院提供操作手册宣传册素材（宣传易拉宝）</w:t>
            </w:r>
          </w:p>
        </w:tc>
      </w:tr>
    </w:tbl>
    <w:p w14:paraId="10F267A4" w14:textId="77777777" w:rsidR="00EA755A" w:rsidRDefault="00EA755A" w:rsidP="00EA755A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360" w:lineRule="auto"/>
        <w:ind w:left="283" w:rightChars="50" w:right="105"/>
        <w:textAlignment w:val="baseline"/>
        <w:rPr>
          <w:rFonts w:ascii="宋体" w:eastAsia="宋体" w:hAnsi="宋体" w:cs="宋体"/>
          <w:b/>
          <w:bCs/>
          <w:spacing w:val="1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12"/>
          <w:sz w:val="28"/>
          <w:szCs w:val="28"/>
        </w:rPr>
        <w:t>(四)技术支持服务要求：</w:t>
      </w:r>
    </w:p>
    <w:p w14:paraId="770991B8" w14:textId="72648503" w:rsidR="00524C42" w:rsidRPr="00EA755A" w:rsidRDefault="00EA755A" w:rsidP="00EA755A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360" w:lineRule="auto"/>
        <w:ind w:firstLineChars="200" w:firstLine="404"/>
        <w:textAlignment w:val="baseline"/>
        <w:rPr>
          <w:rFonts w:ascii="宋体" w:eastAsia="宋体" w:hAnsi="宋体" w:cs="宋体" w:hint="eastAsia"/>
          <w:spacing w:val="-4"/>
          <w:szCs w:val="21"/>
        </w:rPr>
      </w:pPr>
      <w:proofErr w:type="gramStart"/>
      <w:r>
        <w:rPr>
          <w:rFonts w:ascii="宋体" w:eastAsia="宋体" w:hAnsi="宋体" w:cs="宋体" w:hint="eastAsia"/>
          <w:spacing w:val="-4"/>
          <w:szCs w:val="21"/>
        </w:rPr>
        <w:t>供应商方为</w:t>
      </w:r>
      <w:proofErr w:type="gramEnd"/>
      <w:r>
        <w:rPr>
          <w:rFonts w:ascii="宋体" w:eastAsia="宋体" w:hAnsi="宋体" w:cs="宋体" w:hint="eastAsia"/>
          <w:spacing w:val="-4"/>
          <w:szCs w:val="21"/>
        </w:rPr>
        <w:t>医院方提供1年的免费质保期，供应商承诺在免费质保期内，产品出现故障时，医院方可以通过电话或网络方式向维护支持服务提供方报告故障，如需到场处理，维护支持服务提供方技术人员应在7小时内到达现场，产品故障应当在技术人员到达现场后4小时内解决，产品恢复正常运行或使用。</w:t>
      </w:r>
    </w:p>
    <w:sectPr w:rsidR="00524C42" w:rsidRPr="00EA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9D115C"/>
    <w:multiLevelType w:val="singleLevel"/>
    <w:tmpl w:val="B39D115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47A2CFE"/>
    <w:multiLevelType w:val="singleLevel"/>
    <w:tmpl w:val="F47A2CF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8F90DAB"/>
    <w:multiLevelType w:val="multilevel"/>
    <w:tmpl w:val="58F90DAB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5A"/>
    <w:rsid w:val="00524C42"/>
    <w:rsid w:val="00E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F500"/>
  <w15:chartTrackingRefBased/>
  <w15:docId w15:val="{B99DC07E-9ACD-4CB3-AF0B-AA3AE1E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5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55A"/>
    <w:pPr>
      <w:ind w:left="720"/>
      <w:contextualSpacing/>
    </w:pPr>
  </w:style>
  <w:style w:type="character" w:customStyle="1" w:styleId="font11">
    <w:name w:val="font11"/>
    <w:basedOn w:val="a0"/>
    <w:qFormat/>
    <w:rsid w:val="00EA755A"/>
    <w:rPr>
      <w:rFonts w:ascii="宋体" w:eastAsia="宋体" w:hAnsi="宋体" w:hint="eastAsia"/>
      <w:color w:val="000000"/>
      <w:sz w:val="20"/>
      <w:szCs w:val="20"/>
      <w:u w:val="none"/>
    </w:rPr>
  </w:style>
  <w:style w:type="table" w:customStyle="1" w:styleId="TableNormal">
    <w:name w:val="Table Normal"/>
    <w:semiHidden/>
    <w:unhideWhenUsed/>
    <w:qFormat/>
    <w:rsid w:val="00EA755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31">
    <w:name w:val="font31"/>
    <w:basedOn w:val="a0"/>
    <w:rsid w:val="00EA755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EA755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孔德兴</dc:creator>
  <cp:keywords/>
  <dc:description/>
  <cp:lastModifiedBy>孔德兴</cp:lastModifiedBy>
  <cp:revision>1</cp:revision>
  <dcterms:created xsi:type="dcterms:W3CDTF">2024-11-14T06:10:00Z</dcterms:created>
  <dcterms:modified xsi:type="dcterms:W3CDTF">2024-11-14T06:11:00Z</dcterms:modified>
</cp:coreProperties>
</file>